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Unit 3 Vocabulary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Mesopotamia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Climate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Arid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Civilization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Mediterranean Sea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Tigris River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Euphrates River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Barter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Irrigation Canals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Empire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Priest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Dynasty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Monarch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City‐ state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Fertile Crescent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silt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surplus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division of labor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social hierarchy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cuneiform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ziggurat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Hammurabi Code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Nobles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Key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King Hammurabi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Nebuchadnezzar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Gilgamesh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Sargon of Akkad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Egypt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Nile River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North Africa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Delta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Hieroglyphics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pyramids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Pharaoh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mummification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Rosetta Stone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Sphinx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Key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King Tutankhamen “King Tut”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Ramses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Cleopatra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Queen Hatshepsut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Khufu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Nubians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Indus River Valley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Ganges River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Indus River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Arabian Sea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Subcontinent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Monsoons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Sanskrit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caste system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alloys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metallurgy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Buddhism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Hinduism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Brahmans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Kshatriyas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Vaisyas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Mohenjodaro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Harappa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Key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Dravidians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Aryans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